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rPr>
          <w:rFonts w:hint="eastAsia"/>
        </w:rPr>
      </w:pPr>
      <w:r>
        <w:rPr>
          <w:rFonts w:hint="eastAsia"/>
        </w:rPr>
        <w:t>题目：新形势下提标改造 . 流域治理技术服务实践与展望   北京沃尔德斯水务科技有限公司工艺技术经理 梁硕</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50</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color w:val="C00000"/>
          <w:sz w:val="24"/>
        </w:rPr>
        <w:t xml:space="preserve">酒店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tabs>
          <w:tab w:val="left" w:pos="8190"/>
        </w:tabs>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color w:val="FF6600"/>
          <w:lang w:val="en-US"/>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ascii="宋体" w:hAnsi="宋体" w:cs="宋体"/>
          <w:kern w:val="0"/>
          <w:sz w:val="24"/>
        </w:rPr>
        <w:t>市政污水的数字化之路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11：45—12：05（15分钟报告+5分钟问答）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目：污水处理提报改造工艺技术及工程分享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bookmarkStart w:id="0" w:name="_GoBack"/>
      <w:bookmarkEnd w:id="0"/>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2020-09-29T09:18:52Z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